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556" w:rsidRDefault="00937556" w:rsidP="00937556">
      <w:pPr>
        <w:pStyle w:val="Default"/>
      </w:pPr>
    </w:p>
    <w:p w:rsidR="00937556" w:rsidRDefault="00937556" w:rsidP="00937556">
      <w:pPr>
        <w:pStyle w:val="Default"/>
      </w:pPr>
    </w:p>
    <w:p w:rsidR="00937556" w:rsidRPr="001C49CF" w:rsidRDefault="00937556" w:rsidP="001C49CF">
      <w:pPr>
        <w:pStyle w:val="Default"/>
        <w:jc w:val="center"/>
        <w:rPr>
          <w:b/>
          <w:sz w:val="22"/>
          <w:szCs w:val="22"/>
        </w:rPr>
      </w:pPr>
      <w:r w:rsidRPr="001C49CF">
        <w:rPr>
          <w:b/>
          <w:sz w:val="22"/>
          <w:szCs w:val="22"/>
        </w:rPr>
        <w:t>Gap Coverage Commitment</w:t>
      </w:r>
      <w:r w:rsidR="001C49CF" w:rsidRPr="001C49CF">
        <w:rPr>
          <w:b/>
          <w:sz w:val="22"/>
          <w:szCs w:val="22"/>
        </w:rPr>
        <w:t xml:space="preserve"> Endorsement</w:t>
      </w:r>
    </w:p>
    <w:p w:rsidR="00937556" w:rsidRPr="001C49CF" w:rsidRDefault="001C49CF" w:rsidP="001C49CF">
      <w:pPr>
        <w:pStyle w:val="Default"/>
        <w:jc w:val="center"/>
        <w:rPr>
          <w:b/>
          <w:sz w:val="22"/>
          <w:szCs w:val="22"/>
        </w:rPr>
      </w:pPr>
      <w:r w:rsidRPr="001C49CF">
        <w:rPr>
          <w:b/>
          <w:sz w:val="22"/>
          <w:szCs w:val="22"/>
        </w:rPr>
        <w:t>This endorsement is issued as part of</w:t>
      </w:r>
    </w:p>
    <w:p w:rsidR="00937556" w:rsidRPr="001C49CF" w:rsidRDefault="00937556" w:rsidP="001C49CF">
      <w:pPr>
        <w:pStyle w:val="Default"/>
        <w:jc w:val="center"/>
        <w:rPr>
          <w:b/>
          <w:sz w:val="22"/>
          <w:szCs w:val="22"/>
        </w:rPr>
      </w:pPr>
      <w:r w:rsidRPr="001C49CF">
        <w:rPr>
          <w:b/>
          <w:sz w:val="22"/>
          <w:szCs w:val="22"/>
        </w:rPr>
        <w:t>Policy No._______</w:t>
      </w:r>
    </w:p>
    <w:p w:rsidR="00937556" w:rsidRPr="001C49CF" w:rsidRDefault="00937556" w:rsidP="001C49CF">
      <w:pPr>
        <w:pStyle w:val="Default"/>
        <w:jc w:val="center"/>
        <w:rPr>
          <w:b/>
          <w:sz w:val="22"/>
          <w:szCs w:val="22"/>
        </w:rPr>
      </w:pPr>
      <w:r w:rsidRPr="001C49CF">
        <w:rPr>
          <w:b/>
          <w:sz w:val="22"/>
          <w:szCs w:val="22"/>
        </w:rPr>
        <w:t>Issued by</w:t>
      </w:r>
    </w:p>
    <w:p w:rsidR="00937556" w:rsidRDefault="00937556" w:rsidP="001C49CF">
      <w:pPr>
        <w:pStyle w:val="Default"/>
        <w:jc w:val="center"/>
        <w:rPr>
          <w:b/>
          <w:sz w:val="22"/>
          <w:szCs w:val="22"/>
        </w:rPr>
      </w:pPr>
      <w:r w:rsidRPr="001C49CF">
        <w:rPr>
          <w:b/>
          <w:sz w:val="22"/>
          <w:szCs w:val="22"/>
        </w:rPr>
        <w:t>WFG NATIONAL TITLE INSURANCE COMPANY</w:t>
      </w:r>
    </w:p>
    <w:p w:rsidR="001C49CF" w:rsidRDefault="001C49CF" w:rsidP="001C49CF">
      <w:pPr>
        <w:pStyle w:val="Default"/>
        <w:jc w:val="center"/>
        <w:rPr>
          <w:b/>
          <w:sz w:val="22"/>
          <w:szCs w:val="22"/>
        </w:rPr>
      </w:pPr>
    </w:p>
    <w:p w:rsidR="00937556" w:rsidRDefault="00937556" w:rsidP="00EC0CB3">
      <w:pPr>
        <w:pStyle w:val="Default"/>
        <w:rPr>
          <w:sz w:val="20"/>
          <w:szCs w:val="20"/>
        </w:rPr>
      </w:pPr>
      <w:bookmarkStart w:id="0" w:name="_GoBack"/>
      <w:bookmarkEnd w:id="0"/>
    </w:p>
    <w:p w:rsidR="00937556" w:rsidRDefault="00937556" w:rsidP="001C2DA8">
      <w:pPr>
        <w:pStyle w:val="Default"/>
        <w:jc w:val="both"/>
        <w:rPr>
          <w:sz w:val="20"/>
          <w:szCs w:val="20"/>
        </w:rPr>
      </w:pPr>
      <w:r>
        <w:rPr>
          <w:sz w:val="20"/>
          <w:szCs w:val="20"/>
        </w:rPr>
        <w:t xml:space="preserve">Policies issued within 30 days from the commitment date hereof shall not contain as exceptions matters arising subsequent to the effective date of this commitment unless: </w:t>
      </w:r>
    </w:p>
    <w:p w:rsidR="00937556" w:rsidRDefault="00937556" w:rsidP="001C2DA8">
      <w:pPr>
        <w:pStyle w:val="Default"/>
        <w:jc w:val="both"/>
        <w:rPr>
          <w:sz w:val="20"/>
          <w:szCs w:val="20"/>
        </w:rPr>
      </w:pPr>
    </w:p>
    <w:p w:rsidR="00937556" w:rsidRDefault="00937556" w:rsidP="001C2DA8">
      <w:pPr>
        <w:pStyle w:val="Default"/>
        <w:jc w:val="both"/>
        <w:rPr>
          <w:sz w:val="20"/>
          <w:szCs w:val="20"/>
        </w:rPr>
      </w:pPr>
      <w:r>
        <w:rPr>
          <w:sz w:val="20"/>
          <w:szCs w:val="20"/>
        </w:rPr>
        <w:t xml:space="preserve">1. The Company discloses such matters prior to the closing to the person who applied for this commitment; or </w:t>
      </w:r>
    </w:p>
    <w:p w:rsidR="00937556" w:rsidRDefault="00937556" w:rsidP="001C2DA8">
      <w:pPr>
        <w:pStyle w:val="Default"/>
        <w:jc w:val="both"/>
        <w:rPr>
          <w:sz w:val="20"/>
          <w:szCs w:val="20"/>
        </w:rPr>
      </w:pPr>
    </w:p>
    <w:p w:rsidR="00937556" w:rsidRDefault="00937556" w:rsidP="001C2DA8">
      <w:pPr>
        <w:pStyle w:val="Default"/>
        <w:jc w:val="both"/>
        <w:rPr>
          <w:sz w:val="20"/>
          <w:szCs w:val="20"/>
        </w:rPr>
      </w:pPr>
      <w:r>
        <w:rPr>
          <w:sz w:val="20"/>
          <w:szCs w:val="20"/>
        </w:rPr>
        <w:t xml:space="preserve">2. The conveyance to the insured is by a grantor who does not warrant title; or </w:t>
      </w:r>
    </w:p>
    <w:p w:rsidR="00937556" w:rsidRDefault="00937556" w:rsidP="001C2DA8">
      <w:pPr>
        <w:pStyle w:val="Default"/>
        <w:jc w:val="both"/>
        <w:rPr>
          <w:sz w:val="20"/>
          <w:szCs w:val="20"/>
        </w:rPr>
      </w:pPr>
    </w:p>
    <w:p w:rsidR="00937556" w:rsidRDefault="00937556" w:rsidP="001C2DA8">
      <w:pPr>
        <w:pStyle w:val="Default"/>
        <w:jc w:val="both"/>
        <w:rPr>
          <w:sz w:val="20"/>
          <w:szCs w:val="20"/>
        </w:rPr>
      </w:pPr>
      <w:r>
        <w:rPr>
          <w:sz w:val="20"/>
          <w:szCs w:val="20"/>
        </w:rPr>
        <w:t xml:space="preserve">3. The proposed insured or his counsel fails to notify the Company of closing at least three (3) business days prior to the closing; or </w:t>
      </w:r>
    </w:p>
    <w:p w:rsidR="00937556" w:rsidRDefault="00937556" w:rsidP="001C2DA8">
      <w:pPr>
        <w:pStyle w:val="Default"/>
        <w:jc w:val="both"/>
        <w:rPr>
          <w:sz w:val="20"/>
          <w:szCs w:val="20"/>
        </w:rPr>
      </w:pPr>
    </w:p>
    <w:p w:rsidR="00937556" w:rsidRDefault="00937556" w:rsidP="001C2DA8">
      <w:pPr>
        <w:pStyle w:val="Default"/>
        <w:jc w:val="both"/>
        <w:rPr>
          <w:sz w:val="20"/>
          <w:szCs w:val="20"/>
        </w:rPr>
      </w:pPr>
      <w:r>
        <w:rPr>
          <w:sz w:val="20"/>
          <w:szCs w:val="20"/>
        </w:rPr>
        <w:t xml:space="preserve">4. The grantor fails to provide to the Company a written affidavit certifying that he has not filed bankruptcy, received notice of any pending cause of action, permitted any lien or encumbrance to attach to the land, or made any other conveyance of the land since the effective date of the Company’s commitment; or </w:t>
      </w:r>
    </w:p>
    <w:p w:rsidR="00937556" w:rsidRDefault="00937556" w:rsidP="001C2DA8">
      <w:pPr>
        <w:pStyle w:val="Default"/>
        <w:jc w:val="both"/>
        <w:rPr>
          <w:sz w:val="20"/>
          <w:szCs w:val="20"/>
        </w:rPr>
      </w:pPr>
    </w:p>
    <w:p w:rsidR="00937556" w:rsidRDefault="00937556" w:rsidP="001C2DA8">
      <w:pPr>
        <w:pStyle w:val="Default"/>
        <w:jc w:val="both"/>
        <w:rPr>
          <w:sz w:val="20"/>
          <w:szCs w:val="20"/>
        </w:rPr>
      </w:pPr>
      <w:r>
        <w:rPr>
          <w:sz w:val="20"/>
          <w:szCs w:val="20"/>
        </w:rPr>
        <w:t xml:space="preserve">5. The conveyance documents are not recorded in the county where the land is located, or made available to the Company in recordable form, within three (3) business days of closing. </w:t>
      </w:r>
    </w:p>
    <w:p w:rsidR="00937556" w:rsidRDefault="00937556" w:rsidP="001C2DA8">
      <w:pPr>
        <w:pStyle w:val="Default"/>
        <w:jc w:val="both"/>
        <w:rPr>
          <w:sz w:val="20"/>
          <w:szCs w:val="20"/>
        </w:rPr>
      </w:pPr>
    </w:p>
    <w:p w:rsidR="001C2DA8" w:rsidRPr="001C2DA8" w:rsidRDefault="00937556" w:rsidP="00A12BE4">
      <w:pPr>
        <w:jc w:val="both"/>
        <w:rPr>
          <w:rFonts w:ascii="Arial" w:hAnsi="Arial" w:cs="Arial"/>
          <w:color w:val="000000"/>
          <w:sz w:val="24"/>
          <w:szCs w:val="24"/>
        </w:rPr>
      </w:pPr>
      <w:r w:rsidRPr="001C2DA8">
        <w:rPr>
          <w:rFonts w:ascii="Arial" w:hAnsi="Arial" w:cs="Arial"/>
          <w:sz w:val="20"/>
          <w:szCs w:val="20"/>
        </w:rPr>
        <w:t>As used in this Endorsement, a “business day” shall mean a day the office in which the public records affecting the land described in the Commitment for Title Insurance is open for business.</w:t>
      </w:r>
    </w:p>
    <w:p w:rsidR="001C2DA8" w:rsidRPr="001C2DA8" w:rsidRDefault="001C2DA8" w:rsidP="001C2DA8">
      <w:pPr>
        <w:autoSpaceDE w:val="0"/>
        <w:autoSpaceDN w:val="0"/>
        <w:adjustRightInd w:val="0"/>
        <w:spacing w:after="0" w:line="240" w:lineRule="auto"/>
        <w:jc w:val="both"/>
        <w:rPr>
          <w:rFonts w:ascii="Arial" w:hAnsi="Arial" w:cs="Arial"/>
          <w:color w:val="000000"/>
          <w:sz w:val="20"/>
          <w:szCs w:val="20"/>
        </w:rPr>
      </w:pPr>
      <w:r w:rsidRPr="001C2DA8">
        <w:rPr>
          <w:rFonts w:ascii="Arial" w:hAnsi="Arial" w:cs="Arial"/>
          <w:color w:val="000000"/>
          <w:sz w:val="20"/>
          <w:szCs w:val="20"/>
        </w:rPr>
        <w:t xml:space="preserve">This Endorsement is made a part of the Commitment and is subject to all of the terms and provisions thereof and of any prior Endorsements thereto. Except to the extent expressly stated, it neither modifies any of the terms and provisions of the Commitment and any prior Endorsements, nor does it extend the effective date of the Commitment and any prior Endorsements, nor does it increase the face amount thereof. </w:t>
      </w:r>
    </w:p>
    <w:p w:rsidR="001C2DA8" w:rsidRDefault="001C2DA8" w:rsidP="00937556">
      <w:pPr>
        <w:jc w:val="both"/>
      </w:pPr>
    </w:p>
    <w:p w:rsidR="001C2DA8" w:rsidRPr="00590B47" w:rsidRDefault="001C2DA8" w:rsidP="001C2DA8">
      <w:pPr>
        <w:rPr>
          <w:rFonts w:ascii="Arial" w:hAnsi="Arial" w:cs="Arial"/>
          <w:bCs/>
          <w:iCs/>
          <w:sz w:val="20"/>
          <w:szCs w:val="20"/>
          <w:u w:val="single"/>
        </w:rPr>
      </w:pPr>
      <w:r>
        <w:rPr>
          <w:rFonts w:ascii="Arial" w:hAnsi="Arial" w:cs="Arial"/>
          <w:color w:val="000000"/>
          <w:sz w:val="20"/>
          <w:szCs w:val="20"/>
          <w:shd w:val="clear" w:color="auto" w:fill="FFFFFF"/>
        </w:rPr>
        <w:t>Dated:</w:t>
      </w:r>
      <w:r w:rsidR="00590B47">
        <w:rPr>
          <w:rFonts w:ascii="Arial" w:hAnsi="Arial" w:cs="Arial"/>
          <w:color w:val="000000"/>
          <w:sz w:val="20"/>
          <w:szCs w:val="20"/>
          <w:shd w:val="clear" w:color="auto" w:fill="FFFFFF"/>
        </w:rPr>
        <w:t xml:space="preserve">  </w:t>
      </w:r>
      <w:r w:rsidR="00590B47">
        <w:rPr>
          <w:rFonts w:ascii="Arial" w:hAnsi="Arial" w:cs="Arial"/>
          <w:color w:val="000000"/>
          <w:sz w:val="20"/>
          <w:szCs w:val="20"/>
          <w:u w:val="single"/>
          <w:shd w:val="clear" w:color="auto" w:fill="FFFFFF"/>
        </w:rPr>
        <w:tab/>
      </w:r>
      <w:r w:rsidR="00590B47">
        <w:rPr>
          <w:rFonts w:ascii="Arial" w:hAnsi="Arial" w:cs="Arial"/>
          <w:color w:val="000000"/>
          <w:sz w:val="20"/>
          <w:szCs w:val="20"/>
          <w:u w:val="single"/>
          <w:shd w:val="clear" w:color="auto" w:fill="FFFFFF"/>
        </w:rPr>
        <w:tab/>
      </w:r>
      <w:r w:rsidR="00590B47">
        <w:rPr>
          <w:rFonts w:ascii="Arial" w:hAnsi="Arial" w:cs="Arial"/>
          <w:color w:val="000000"/>
          <w:sz w:val="20"/>
          <w:szCs w:val="20"/>
          <w:u w:val="single"/>
          <w:shd w:val="clear" w:color="auto" w:fill="FFFFFF"/>
        </w:rPr>
        <w:tab/>
      </w:r>
      <w:r w:rsidR="00590B47">
        <w:rPr>
          <w:rFonts w:ascii="Arial" w:hAnsi="Arial" w:cs="Arial"/>
          <w:color w:val="000000"/>
          <w:sz w:val="20"/>
          <w:szCs w:val="20"/>
          <w:u w:val="single"/>
          <w:shd w:val="clear" w:color="auto" w:fill="FFFFFF"/>
        </w:rPr>
        <w:tab/>
      </w:r>
      <w:r w:rsidR="00590B47">
        <w:rPr>
          <w:rFonts w:ascii="Arial" w:hAnsi="Arial" w:cs="Arial"/>
          <w:color w:val="000000"/>
          <w:sz w:val="20"/>
          <w:szCs w:val="20"/>
          <w:u w:val="single"/>
          <w:shd w:val="clear" w:color="auto" w:fill="FFFFFF"/>
        </w:rPr>
        <w:tab/>
      </w:r>
    </w:p>
    <w:p w:rsidR="001C2DA8" w:rsidRDefault="001C2DA8" w:rsidP="001C2DA8">
      <w:pPr>
        <w:jc w:val="both"/>
        <w:rPr>
          <w:rFonts w:ascii="Arial" w:hAnsi="Arial" w:cs="Arial"/>
          <w:bCs/>
          <w:iCs/>
          <w:sz w:val="20"/>
          <w:szCs w:val="20"/>
        </w:rPr>
      </w:pPr>
    </w:p>
    <w:p w:rsidR="001C2DA8" w:rsidRDefault="001C2DA8" w:rsidP="001C2DA8">
      <w:pPr>
        <w:pStyle w:val="NormalWeb"/>
        <w:spacing w:before="0" w:beforeAutospacing="0" w:after="0" w:afterAutospacing="0"/>
        <w:jc w:val="both"/>
        <w:rPr>
          <w:rFonts w:ascii="Arial" w:hAnsi="Arial" w:cs="Arial"/>
          <w:b/>
          <w:bCs/>
          <w:iCs/>
          <w:sz w:val="20"/>
          <w:szCs w:val="20"/>
        </w:rPr>
      </w:pPr>
      <w:r>
        <w:rPr>
          <w:rFonts w:ascii="Arial" w:hAnsi="Arial" w:cs="Arial"/>
          <w:b/>
          <w:bCs/>
          <w:iCs/>
          <w:sz w:val="20"/>
          <w:szCs w:val="20"/>
        </w:rPr>
        <w:t>WFG NATIONAL TITLE INSURANCE COMPANY</w:t>
      </w:r>
    </w:p>
    <w:p w:rsidR="001C2DA8" w:rsidRDefault="001C2DA8" w:rsidP="001C2DA8">
      <w:pPr>
        <w:pStyle w:val="NormalWeb"/>
        <w:spacing w:before="0" w:beforeAutospacing="0" w:after="0" w:afterAutospacing="0"/>
        <w:jc w:val="both"/>
        <w:rPr>
          <w:rFonts w:ascii="Arial" w:hAnsi="Arial" w:cs="Arial"/>
          <w:b/>
          <w:bCs/>
          <w:sz w:val="20"/>
          <w:szCs w:val="20"/>
        </w:rPr>
      </w:pPr>
    </w:p>
    <w:p w:rsidR="001C2DA8" w:rsidRDefault="001C2DA8" w:rsidP="001C2DA8">
      <w:pPr>
        <w:pStyle w:val="NormalWeb"/>
        <w:spacing w:before="0" w:beforeAutospacing="0" w:after="0" w:afterAutospacing="0"/>
        <w:jc w:val="both"/>
        <w:rPr>
          <w:rFonts w:ascii="Arial" w:hAnsi="Arial" w:cs="Arial"/>
          <w:b/>
          <w:bCs/>
          <w:sz w:val="20"/>
          <w:szCs w:val="20"/>
        </w:rPr>
      </w:pPr>
    </w:p>
    <w:p w:rsidR="001C2DA8" w:rsidRDefault="001C2DA8" w:rsidP="001C2DA8">
      <w:pPr>
        <w:pStyle w:val="NormalWeb"/>
        <w:spacing w:before="0" w:beforeAutospacing="0" w:after="0" w:afterAutospacing="0"/>
        <w:rPr>
          <w:rFonts w:ascii="Arial" w:hAnsi="Arial" w:cs="Arial"/>
          <w:sz w:val="20"/>
          <w:szCs w:val="20"/>
        </w:rPr>
      </w:pPr>
      <w:r>
        <w:rPr>
          <w:rFonts w:ascii="Arial" w:hAnsi="Arial" w:cs="Arial"/>
          <w:b/>
          <w:bCs/>
          <w:sz w:val="20"/>
          <w:szCs w:val="20"/>
        </w:rPr>
        <w:t>By: _______________________________________</w:t>
      </w:r>
      <w:r>
        <w:rPr>
          <w:rFonts w:ascii="Arial" w:hAnsi="Arial" w:cs="Arial"/>
          <w:sz w:val="20"/>
          <w:szCs w:val="20"/>
        </w:rPr>
        <w:t xml:space="preserve"> </w:t>
      </w:r>
    </w:p>
    <w:p w:rsidR="001C2DA8" w:rsidRDefault="001C2DA8" w:rsidP="001C2DA8">
      <w:pPr>
        <w:pStyle w:val="NormalWeb"/>
        <w:spacing w:before="0" w:beforeAutospacing="0" w:after="0" w:afterAutospacing="0"/>
        <w:ind w:firstLine="720"/>
        <w:rPr>
          <w:rFonts w:ascii="Arial" w:hAnsi="Arial" w:cs="Arial"/>
          <w:sz w:val="20"/>
          <w:szCs w:val="20"/>
        </w:rPr>
      </w:pPr>
      <w:r>
        <w:rPr>
          <w:rFonts w:ascii="Arial" w:hAnsi="Arial" w:cs="Arial"/>
          <w:b/>
          <w:sz w:val="20"/>
          <w:szCs w:val="20"/>
        </w:rPr>
        <w:t>Authorized Signatory</w:t>
      </w:r>
    </w:p>
    <w:sectPr w:rsidR="001C2DA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0870" w:rsidRDefault="00A30870" w:rsidP="00937556">
      <w:pPr>
        <w:spacing w:after="0" w:line="240" w:lineRule="auto"/>
      </w:pPr>
      <w:r>
        <w:separator/>
      </w:r>
    </w:p>
  </w:endnote>
  <w:endnote w:type="continuationSeparator" w:id="0">
    <w:p w:rsidR="00A30870" w:rsidRDefault="00A30870" w:rsidP="00937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DA8" w:rsidRPr="001C2DA8" w:rsidRDefault="001C2DA8">
    <w:pPr>
      <w:pStyle w:val="Footer"/>
      <w:rPr>
        <w:sz w:val="18"/>
        <w:szCs w:val="18"/>
      </w:rPr>
    </w:pPr>
    <w:r w:rsidRPr="001C2DA8">
      <w:rPr>
        <w:sz w:val="18"/>
        <w:szCs w:val="18"/>
      </w:rPr>
      <w:t>Gap Coverage Commitment Endorsement</w:t>
    </w:r>
  </w:p>
  <w:p w:rsidR="001C2DA8" w:rsidRDefault="001C2DA8">
    <w:pPr>
      <w:pStyle w:val="Footer"/>
    </w:pPr>
    <w:r w:rsidRPr="001C2DA8">
      <w:rPr>
        <w:sz w:val="18"/>
        <w:szCs w:val="18"/>
      </w:rPr>
      <w:t>Wisconsin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0870" w:rsidRDefault="00A30870" w:rsidP="00937556">
      <w:pPr>
        <w:spacing w:after="0" w:line="240" w:lineRule="auto"/>
      </w:pPr>
      <w:r>
        <w:separator/>
      </w:r>
    </w:p>
  </w:footnote>
  <w:footnote w:type="continuationSeparator" w:id="0">
    <w:p w:rsidR="00A30870" w:rsidRDefault="00A30870" w:rsidP="009375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556" w:rsidRDefault="00937556" w:rsidP="00937556">
    <w:pPr>
      <w:pStyle w:val="Header"/>
      <w:jc w:val="center"/>
    </w:pPr>
    <w:r>
      <w:rPr>
        <w:noProof/>
      </w:rPr>
      <w:drawing>
        <wp:inline distT="0" distB="0" distL="0" distR="0" wp14:anchorId="28F5356C" wp14:editId="7CA58E95">
          <wp:extent cx="3026410" cy="780415"/>
          <wp:effectExtent l="0" t="0" r="2540" b="635"/>
          <wp:docPr id="2" name="Picture 2" descr="WFG NTIC_logo"/>
          <wp:cNvGraphicFramePr/>
          <a:graphic xmlns:a="http://schemas.openxmlformats.org/drawingml/2006/main">
            <a:graphicData uri="http://schemas.openxmlformats.org/drawingml/2006/picture">
              <pic:pic xmlns:pic="http://schemas.openxmlformats.org/drawingml/2006/picture">
                <pic:nvPicPr>
                  <pic:cNvPr id="2" name="Picture 2" descr="WFG NTIC_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6410" cy="78041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A71A18"/>
    <w:multiLevelType w:val="hybridMultilevel"/>
    <w:tmpl w:val="99D2794E"/>
    <w:lvl w:ilvl="0" w:tplc="E1BC7DB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68AB2FF5"/>
    <w:multiLevelType w:val="multilevel"/>
    <w:tmpl w:val="F8BCE600"/>
    <w:lvl w:ilvl="0">
      <w:start w:val="1"/>
      <w:numFmt w:val="decimal"/>
      <w:pStyle w:val="Style3"/>
      <w:lvlText w:val="%1."/>
      <w:lvlJc w:val="left"/>
      <w:pPr>
        <w:tabs>
          <w:tab w:val="num" w:pos="810"/>
        </w:tabs>
        <w:ind w:left="810" w:hanging="720"/>
      </w:pPr>
    </w:lvl>
    <w:lvl w:ilvl="1">
      <w:start w:val="1"/>
      <w:numFmt w:val="decimal"/>
      <w:lvlText w:val="%2."/>
      <w:lvlJc w:val="left"/>
      <w:pPr>
        <w:tabs>
          <w:tab w:val="num" w:pos="1530"/>
        </w:tabs>
        <w:ind w:left="1530" w:hanging="720"/>
      </w:pPr>
    </w:lvl>
    <w:lvl w:ilvl="2">
      <w:start w:val="1"/>
      <w:numFmt w:val="decimal"/>
      <w:lvlText w:val="%3."/>
      <w:lvlJc w:val="left"/>
      <w:pPr>
        <w:tabs>
          <w:tab w:val="num" w:pos="2250"/>
        </w:tabs>
        <w:ind w:left="2250" w:hanging="720"/>
      </w:pPr>
    </w:lvl>
    <w:lvl w:ilvl="3">
      <w:start w:val="1"/>
      <w:numFmt w:val="decimal"/>
      <w:lvlText w:val="%4."/>
      <w:lvlJc w:val="left"/>
      <w:pPr>
        <w:tabs>
          <w:tab w:val="num" w:pos="2970"/>
        </w:tabs>
        <w:ind w:left="2970" w:hanging="720"/>
      </w:pPr>
    </w:lvl>
    <w:lvl w:ilvl="4">
      <w:start w:val="1"/>
      <w:numFmt w:val="decimal"/>
      <w:lvlText w:val="%5."/>
      <w:lvlJc w:val="left"/>
      <w:pPr>
        <w:tabs>
          <w:tab w:val="num" w:pos="3690"/>
        </w:tabs>
        <w:ind w:left="3690" w:hanging="720"/>
      </w:pPr>
    </w:lvl>
    <w:lvl w:ilvl="5">
      <w:start w:val="1"/>
      <w:numFmt w:val="decimal"/>
      <w:lvlText w:val="%6."/>
      <w:lvlJc w:val="left"/>
      <w:pPr>
        <w:tabs>
          <w:tab w:val="num" w:pos="4410"/>
        </w:tabs>
        <w:ind w:left="4410" w:hanging="720"/>
      </w:pPr>
    </w:lvl>
    <w:lvl w:ilvl="6">
      <w:start w:val="1"/>
      <w:numFmt w:val="decimal"/>
      <w:lvlText w:val="%7."/>
      <w:lvlJc w:val="left"/>
      <w:pPr>
        <w:tabs>
          <w:tab w:val="num" w:pos="5130"/>
        </w:tabs>
        <w:ind w:left="5130" w:hanging="720"/>
      </w:pPr>
    </w:lvl>
    <w:lvl w:ilvl="7">
      <w:start w:val="1"/>
      <w:numFmt w:val="decimal"/>
      <w:lvlText w:val="%8."/>
      <w:lvlJc w:val="left"/>
      <w:pPr>
        <w:tabs>
          <w:tab w:val="num" w:pos="5850"/>
        </w:tabs>
        <w:ind w:left="5850" w:hanging="720"/>
      </w:pPr>
    </w:lvl>
    <w:lvl w:ilvl="8">
      <w:start w:val="1"/>
      <w:numFmt w:val="decimal"/>
      <w:lvlText w:val="%9."/>
      <w:lvlJc w:val="left"/>
      <w:pPr>
        <w:tabs>
          <w:tab w:val="num" w:pos="6570"/>
        </w:tabs>
        <w:ind w:left="6570" w:hanging="720"/>
      </w:pPr>
    </w:lvl>
  </w:abstractNum>
  <w:abstractNum w:abstractNumId="2" w15:restartNumberingAfterBreak="0">
    <w:nsid w:val="75C13768"/>
    <w:multiLevelType w:val="hybridMultilevel"/>
    <w:tmpl w:val="5A2D818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77530134"/>
    <w:multiLevelType w:val="hybridMultilevel"/>
    <w:tmpl w:val="9E1045E0"/>
    <w:lvl w:ilvl="0" w:tplc="3B9423C0">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556"/>
    <w:rsid w:val="001C2DA8"/>
    <w:rsid w:val="001C49CF"/>
    <w:rsid w:val="001C4D21"/>
    <w:rsid w:val="00590B47"/>
    <w:rsid w:val="005C7981"/>
    <w:rsid w:val="00937556"/>
    <w:rsid w:val="00A12BE4"/>
    <w:rsid w:val="00A30870"/>
    <w:rsid w:val="00E409CC"/>
    <w:rsid w:val="00EC0CB3"/>
    <w:rsid w:val="00EF4E6E"/>
    <w:rsid w:val="00FD4CC5"/>
    <w:rsid w:val="00FD7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7AB46D-3602-4699-9E55-81CA516CE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link w:val="Style3Char"/>
    <w:autoRedefine/>
    <w:qFormat/>
    <w:rsid w:val="00EF4E6E"/>
    <w:pPr>
      <w:numPr>
        <w:numId w:val="3"/>
      </w:numPr>
      <w:spacing w:after="0" w:line="240" w:lineRule="auto"/>
      <w:ind w:left="1800" w:hanging="360"/>
    </w:pPr>
    <w:rPr>
      <w:rFonts w:ascii="Arial" w:hAnsi="Arial" w:cs="Times New Roman"/>
    </w:rPr>
  </w:style>
  <w:style w:type="character" w:customStyle="1" w:styleId="Style3Char">
    <w:name w:val="Style3 Char"/>
    <w:basedOn w:val="DefaultParagraphFont"/>
    <w:link w:val="Style3"/>
    <w:rsid w:val="00EF4E6E"/>
    <w:rPr>
      <w:rFonts w:ascii="Arial" w:hAnsi="Arial" w:cs="Times New Roman"/>
    </w:rPr>
  </w:style>
  <w:style w:type="paragraph" w:styleId="Header">
    <w:name w:val="header"/>
    <w:basedOn w:val="Normal"/>
    <w:link w:val="HeaderChar"/>
    <w:uiPriority w:val="99"/>
    <w:unhideWhenUsed/>
    <w:rsid w:val="009375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556"/>
  </w:style>
  <w:style w:type="paragraph" w:styleId="Footer">
    <w:name w:val="footer"/>
    <w:basedOn w:val="Normal"/>
    <w:link w:val="FooterChar"/>
    <w:uiPriority w:val="99"/>
    <w:unhideWhenUsed/>
    <w:rsid w:val="009375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556"/>
  </w:style>
  <w:style w:type="paragraph" w:customStyle="1" w:styleId="Default">
    <w:name w:val="Default"/>
    <w:rsid w:val="00937556"/>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semiHidden/>
    <w:unhideWhenUsed/>
    <w:rsid w:val="001C2DA8"/>
    <w:pPr>
      <w:spacing w:before="100" w:beforeAutospacing="1" w:after="100" w:afterAutospacing="1" w:line="240" w:lineRule="auto"/>
    </w:pPr>
    <w:rPr>
      <w:rFonts w:ascii="Tahoma" w:eastAsia="Verdana" w:hAnsi="Tahoma" w:cs="Verdana"/>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88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279</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Cornelius</dc:creator>
  <cp:keywords/>
  <dc:description/>
  <cp:lastModifiedBy>Christine Cornelius</cp:lastModifiedBy>
  <cp:revision>2</cp:revision>
  <dcterms:created xsi:type="dcterms:W3CDTF">2024-01-17T19:07:00Z</dcterms:created>
  <dcterms:modified xsi:type="dcterms:W3CDTF">2024-01-17T19:07:00Z</dcterms:modified>
</cp:coreProperties>
</file>